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right"/>
        <w:spacing w:after="0" w:line="240" w:lineRule="auto"/>
        <w:widowControl w:val="off"/>
        <w:tabs>
          <w:tab w:val="left" w:pos="3686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 7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Единым стандартам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качества обслуживания сетевыми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организациями потребителей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услуг сетевых организаций, утвержденным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приказом Минэнерго России от 15.04.2014 г. № 186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Calibri" w:hAnsi="Calibri" w:eastAsia="Times New Roman" w:cs="Calibri"/>
          <w:sz w:val="20"/>
          <w:szCs w:val="20"/>
          <w:lang w:eastAsia="ru-RU"/>
        </w:rPr>
      </w:pPr>
      <w:r>
        <w:rPr>
          <w:rFonts w:ascii="Calibri" w:hAnsi="Calibri" w:eastAsia="Times New Roman" w:cs="Calibri"/>
          <w:sz w:val="20"/>
          <w:szCs w:val="20"/>
          <w:lang w:eastAsia="ru-RU"/>
        </w:rPr>
      </w:r>
      <w:r>
        <w:rPr>
          <w:rFonts w:ascii="Calibri" w:hAnsi="Calibri" w:eastAsia="Times New Roman" w:cs="Calibri"/>
          <w:sz w:val="20"/>
          <w:szCs w:val="20"/>
          <w:lang w:eastAsia="ru-RU"/>
        </w:rPr>
      </w:r>
      <w:r>
        <w:rPr>
          <w:rFonts w:ascii="Calibri" w:hAnsi="Calibri" w:eastAsia="Times New Roman" w:cs="Calibri"/>
          <w:sz w:val="20"/>
          <w:szCs w:val="20"/>
          <w:lang w:eastAsia="ru-RU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Информация о качестве обслуживания потребителей услуг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филиала ПАО «Россети Юг» – «Ростовэнерго» 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за 2024 год.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br w:type="page" w:clear="all"/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0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Общая информация о сетевой организации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Количество потребителей услуг сетевой организации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(далее потребители) с разбивкой по уровням напряжения, категориям надежности потребителей и типу потребителей (физические или юридические лица), а также динамика по отношению к году, предшествующему отчетному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contextualSpacing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2024 году было осуществлено 7 728 технологических присоединений заявителей: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numPr>
          <w:ilvl w:val="0"/>
          <w:numId w:val="2"/>
        </w:numPr>
        <w:contextualSpacing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1-й категории надежности – 0 шт.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numPr>
          <w:ilvl w:val="0"/>
          <w:numId w:val="2"/>
        </w:numPr>
        <w:contextualSpacing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2-й категории надежности – 39 шт.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numPr>
          <w:ilvl w:val="0"/>
          <w:numId w:val="2"/>
        </w:numPr>
        <w:contextualSpacing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3-й категории надежности – 7 689 шт.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contextualSpacing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892"/>
        <w:tblW w:w="8950" w:type="dxa"/>
        <w:tblInd w:w="1080" w:type="dxa"/>
        <w:tblLook w:val="04A0" w:firstRow="1" w:lastRow="0" w:firstColumn="1" w:lastColumn="0" w:noHBand="0" w:noVBand="1"/>
      </w:tblPr>
      <w:tblGrid>
        <w:gridCol w:w="2714"/>
        <w:gridCol w:w="3118"/>
        <w:gridCol w:w="3118"/>
      </w:tblGrid>
      <w:tr>
        <w:tblPrEx/>
        <w:trPr/>
        <w:tc>
          <w:tcPr>
            <w:tcW w:w="271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напряжения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присоединений                         в 2023 году, шт.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присоединений                         в 202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  <w:t xml:space="preserve"> году, шт.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2714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0,4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7080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7 515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2714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6-10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248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2714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20- 35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tabs>
                <w:tab w:val="left" w:pos="202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tabs>
                <w:tab w:val="left" w:pos="202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2714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110 – 220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contextualSpacing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892"/>
        <w:tblW w:w="8950" w:type="dxa"/>
        <w:tblInd w:w="1080" w:type="dxa"/>
        <w:tblLook w:val="04A0" w:firstRow="1" w:lastRow="0" w:firstColumn="1" w:lastColumn="0" w:noHBand="0" w:noVBand="1"/>
      </w:tblPr>
      <w:tblGrid>
        <w:gridCol w:w="2714"/>
        <w:gridCol w:w="3118"/>
        <w:gridCol w:w="3118"/>
      </w:tblGrid>
      <w:tr>
        <w:tblPrEx/>
        <w:trPr>
          <w:trHeight w:val="700"/>
        </w:trPr>
        <w:tc>
          <w:tcPr>
            <w:tcW w:w="271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потребителей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присоединений                            в 2023 году, шт.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присоединений                            в 202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  <w:t xml:space="preserve"> году, шт.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2714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Физические лица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5745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6 181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2714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Юридические лица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1585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1 547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Количество точек поставки всего и точек поставки, оборудованных приборами учета электрической энергии, с разбивкой: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Физические лица, юридические лица, вводные устройства (вводн</w:t>
      </w:r>
      <w:r>
        <w:rPr>
          <w:rFonts w:ascii="Times New Roman" w:hAnsi="Times New Roman" w:cs="Times New Roman"/>
        </w:rPr>
        <w:t xml:space="preserve">о-распределительное устройство, главный распределительный щит) в многоквартирные дома, бесхозяйные объекты электросетевого хозяйства, приборы учета с возможностью дистанционного сбора данных, а также динамика по отношению к году, предшествующему отчетному.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888"/>
        <w:tblW w:w="8809" w:type="dxa"/>
        <w:tblInd w:w="1080" w:type="dxa"/>
        <w:tblLook w:val="04A0" w:firstRow="1" w:lastRow="0" w:firstColumn="1" w:lastColumn="0" w:noHBand="0" w:noVBand="1"/>
      </w:tblPr>
      <w:tblGrid>
        <w:gridCol w:w="4273"/>
        <w:gridCol w:w="2268"/>
        <w:gridCol w:w="2268"/>
      </w:tblGrid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Потребители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точек поставки 202</w:t>
            </w: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  <w:t xml:space="preserve"> г. (шт.)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точек поставки 202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  <w:t xml:space="preserve"> г. (шт.)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19"/>
        </w:trPr>
        <w:tc>
          <w:tcPr>
            <w:tcW w:w="42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245907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541252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267"/>
        </w:trPr>
        <w:tc>
          <w:tcPr>
            <w:tcW w:w="42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Оснащено приборами учета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240599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540158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86296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78712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</w:rPr>
              <w:t xml:space="preserve">Юридические лица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38896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63165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Оснащено приборами учета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36122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62075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7425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7691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Ввода в многоквартирные дома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4153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15376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Оснащено приборами учета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3857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15372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1261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Физические лица (частные домовладения)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202781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462711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Оснащено приборами учета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200620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462711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/>
        <w:tc>
          <w:tcPr>
            <w:tcW w:w="427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77610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71021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</w:tbl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rPr>
          <w:rFonts w:ascii="Times New Roman" w:hAnsi="Times New Roman" w:cs="Times New Roman"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br w:type="page" w:clear="all"/>
      </w:r>
      <w:r>
        <w:rPr>
          <w:rFonts w:ascii="Times New Roman" w:hAnsi="Times New Roman" w:cs="Times New Roman"/>
          <w:color w:val="365f91" w:themeColor="accent1" w:themeShade="BF"/>
        </w:rPr>
      </w:r>
      <w:r>
        <w:rPr>
          <w:rFonts w:ascii="Times New Roman" w:hAnsi="Times New Roman" w:cs="Times New Roman"/>
          <w:color w:val="365f91" w:themeColor="accent1" w:themeShade="BF"/>
        </w:rPr>
      </w:r>
    </w:p>
    <w:p>
      <w:pPr>
        <w:pStyle w:val="886"/>
        <w:numPr>
          <w:ilvl w:val="2"/>
          <w:numId w:val="1"/>
        </w:num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Протяженность ЛЭП филиала ПАО «Россети Юг» - «</w:t>
      </w:r>
      <w:r>
        <w:rPr>
          <w:rFonts w:ascii="Times New Roman" w:hAnsi="Times New Roman" w:cs="Times New Roman"/>
          <w:color w:val="365f91" w:themeColor="accent1" w:themeShade="BF"/>
        </w:rPr>
        <w:t xml:space="preserve">Ростовэнерго</w:t>
      </w:r>
      <w:r>
        <w:rPr>
          <w:rFonts w:ascii="Times New Roman" w:hAnsi="Times New Roman" w:cs="Times New Roman"/>
          <w:color w:val="365f91" w:themeColor="accent1" w:themeShade="BF"/>
        </w:rPr>
        <w:t xml:space="preserve">»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965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1465"/>
        <w:gridCol w:w="1229"/>
        <w:gridCol w:w="1583"/>
        <w:gridCol w:w="1560"/>
        <w:gridCol w:w="18"/>
        <w:gridCol w:w="1199"/>
        <w:gridCol w:w="1549"/>
        <w:gridCol w:w="1344"/>
        <w:gridCol w:w="18"/>
      </w:tblGrid>
      <w:tr>
        <w:tblPrEx/>
        <w:trPr>
          <w:trHeight w:val="191"/>
        </w:trPr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146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439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411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704"/>
        </w:trPr>
        <w:tc>
          <w:tcPr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146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2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(шт)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58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Протяженность по трассе (км)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Протяженность по цепям (км)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(шт)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Протяженность по трассе (км)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Протяжен-ность по цепям (км)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ВЛ 0.4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25 644,0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29 317,7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29 317,7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26 083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29 444,04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3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29 444,04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ВЛ 6-10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1 910,0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30 790,0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30 804,7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1 921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30 929,35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3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30 944,11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ВЛ 35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409,0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6 035,2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6 287,8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411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6 070,00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3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6 325,42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ВЛ 110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311,0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5 321,5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6 390,3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314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5 333,00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3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6 405,76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ИТОГО ВЛ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28 274,0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71 464,3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72 800,5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28 729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71 776,39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3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73 119,32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КЛ 0.4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1 292,0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284,7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284,7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1 323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294,78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3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294,78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КЛ 6-10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1 269,0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859,2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859,2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1 418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958,04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3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958,04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КЛ 35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22,0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57,1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57,1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57,10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3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57,10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КЛ 110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15,0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20,4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20,4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20,44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3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20,44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ИТОГО КЛ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2 598,0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1 221,4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1 221,4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2 778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1 330,37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3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1 330,37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ЛЭП 0.4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26 936,0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29 602,3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29 602,3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27 406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29 738,82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3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29 738,82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ЛЭП 6-10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3 179,0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31 649,1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31 663,9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3 339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31 887,39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3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31 902,15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ЛЭП 35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431,0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6 092,3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6 344,9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433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6 127,10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3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6 382,52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ЛЭП 110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326,0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5 341,9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6 410,7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329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5 353,44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3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6 426,20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4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ИТОГО ЛЭП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30 872,0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8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72 685,7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6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74 021,9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21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31 507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54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73 106,75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13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74 449,69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</w:tr>
    </w:tbl>
    <w:p>
      <w:pPr>
        <w:pStyle w:val="886"/>
        <w:ind w:left="1080"/>
        <w:jc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888"/>
        <w:tblpPr w:horzAnchor="margin" w:tblpXSpec="center" w:vertAnchor="text" w:tblpY="484" w:leftFromText="180" w:topFromText="0" w:rightFromText="180" w:bottomFromText="0"/>
        <w:tblW w:w="9922" w:type="dxa"/>
        <w:tblLayout w:type="fixed"/>
        <w:tblLook w:val="04A0" w:firstRow="1" w:lastRow="0" w:firstColumn="1" w:lastColumn="0" w:noHBand="0" w:noVBand="1"/>
      </w:tblPr>
      <w:tblGrid>
        <w:gridCol w:w="3553"/>
        <w:gridCol w:w="1404"/>
        <w:gridCol w:w="1395"/>
        <w:gridCol w:w="1737"/>
        <w:gridCol w:w="1833"/>
      </w:tblGrid>
      <w:tr>
        <w:tblPrEx/>
        <w:trPr>
          <w:trHeight w:val="253"/>
        </w:trPr>
        <w:tc>
          <w:tcPr>
            <w:tcW w:w="3553" w:type="dxa"/>
            <w:vMerge w:val="restart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tcW w:w="2799" w:type="dxa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tcW w:w="3570" w:type="dxa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53"/>
        </w:trPr>
        <w:tc>
          <w:tcPr>
            <w:tcW w:w="3553" w:type="dxa"/>
            <w:vMerge w:val="continue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04" w:type="dxa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(шт)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395" w:type="dxa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737" w:type="dxa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(шт)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833" w:type="dxa"/>
            <w:textDirection w:val="lrTb"/>
            <w:noWrap w:val="false"/>
          </w:tcPr>
          <w:p>
            <w:pPr>
              <w:pStyle w:val="88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3"/>
        </w:trPr>
        <w:tc>
          <w:tcPr>
            <w:tcW w:w="355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ПС 35 кВ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40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322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3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1 877,34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73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326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1 922,4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78"/>
        </w:trPr>
        <w:tc>
          <w:tcPr>
            <w:tcW w:w="355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ПС 110 кВ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40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244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3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7 127,16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73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246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7 198,36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53"/>
        </w:trPr>
        <w:tc>
          <w:tcPr>
            <w:tcW w:w="3553" w:type="dxa"/>
            <w:textDirection w:val="lrTb"/>
            <w:noWrap w:val="false"/>
          </w:tcPr>
          <w:p>
            <w:pPr>
              <w:pStyle w:val="88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ПС 220 кВ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4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83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53"/>
        </w:trPr>
        <w:tc>
          <w:tcPr>
            <w:tcW w:w="355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и мощность ТП, РП 6-10/0,38 кВ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4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14 926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2 291,56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73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15 248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83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2 349,04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78"/>
        </w:trPr>
        <w:tc>
          <w:tcPr>
            <w:tcW w:w="355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W w:w="140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15 492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W w:w="13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11 296,06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W w:w="173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15 820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W w:w="18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11 469,8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</w:tbl>
    <w:p>
      <w:pPr>
        <w:pStyle w:val="886"/>
        <w:numPr>
          <w:ilvl w:val="2"/>
          <w:numId w:val="1"/>
        </w:num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Количество и мощность подстанций филиала ПАО «Россети Юг» - «</w:t>
      </w:r>
      <w:r>
        <w:rPr>
          <w:rFonts w:ascii="Times New Roman" w:hAnsi="Times New Roman" w:cs="Times New Roman"/>
        </w:rPr>
        <w:t xml:space="preserve">Ростовэнерго</w:t>
      </w:r>
      <w:r>
        <w:rPr>
          <w:rFonts w:ascii="Times New Roman" w:hAnsi="Times New Roman" w:cs="Times New Roman"/>
        </w:rPr>
        <w:t xml:space="preserve">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Уровень физического износа объектов электросетевого хозяйства сетевой организации </w:t>
      </w:r>
      <w:r>
        <w:rPr>
          <w:rFonts w:ascii="Times New Roman" w:hAnsi="Times New Roman" w:cs="Times New Roman"/>
        </w:rPr>
        <w:t xml:space="preserve">с разбивкой по уровням напряжения и по типам оборудования, а также динамика по отношению к году, предшествующему отчетному, заполняется в произвольной форме и выражается в процентах по отношению к нормативному сроку службы объектов.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10255" w:type="dxa"/>
        <w:jc w:val="center"/>
        <w:tblLook w:val="04A0" w:firstRow="1" w:lastRow="0" w:firstColumn="1" w:lastColumn="0" w:noHBand="0" w:noVBand="1"/>
      </w:tblPr>
      <w:tblGrid>
        <w:gridCol w:w="4582"/>
        <w:gridCol w:w="2744"/>
        <w:gridCol w:w="2929"/>
      </w:tblGrid>
      <w:tr>
        <w:tblPrEx/>
        <w:trPr>
          <w:jc w:val="center"/>
          <w:trHeight w:val="416"/>
        </w:trPr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458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567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Значение показателя, годы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  <w:trHeight w:val="97"/>
        </w:trPr>
        <w:tc>
          <w:tcPr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458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7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9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  <w:trHeight w:val="137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458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Трансформаторное оборудование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7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82,10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9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82,73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  <w:trHeight w:val="59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458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Коммутационные аппараты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7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75,34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9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75,62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  <w:trHeight w:val="201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458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Общий износ по оборудованию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7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77,31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9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77,71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  <w:trHeight w:val="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458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ВЛ 35-110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7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80,98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9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80,77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  <w:trHeight w:val="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458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ВЛ 0,4-10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7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83,55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9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87,91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  <w:trHeight w:val="2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458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КЛ 35-110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7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48,96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9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48,96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  <w:trHeight w:val="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458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КЛ 0,4-10 кВ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7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53,37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9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56,48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jc w:val="center"/>
          <w:trHeight w:val="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458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Общий износ по линиям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74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82,60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5" w:space="0"/>
              <w:right w:val="single" w:color="auto" w:sz="5" w:space="0"/>
            </w:tcBorders>
            <w:tcW w:w="292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86,12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ind w:left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ind w:left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ind w:left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ind w:left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0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t xml:space="preserve">Информация о качестве услуг по передаче электрической энергии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Показатели качества услуг по передаче электрической энергии </w:t>
      </w:r>
      <w:r>
        <w:rPr>
          <w:rFonts w:ascii="Times New Roman" w:hAnsi="Times New Roman" w:cs="Times New Roman"/>
        </w:rPr>
        <w:t xml:space="preserve">в целом по сетевой организации в отчетном периоде, а также динамика по отношению к году, предшествующему отчетному.</w:t>
      </w:r>
      <w:r>
        <w:rPr>
          <w:rFonts w:ascii="Times New Roman" w:hAnsi="Times New Roman" w:cs="Times New Roman"/>
          <w:b/>
          <w:color w:val="365f91" w:themeColor="accent1" w:themeShade="BF"/>
        </w:rPr>
        <w:t xml:space="preserve">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10880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6265"/>
        <w:gridCol w:w="975"/>
        <w:gridCol w:w="1340"/>
        <w:gridCol w:w="1340"/>
      </w:tblGrid>
      <w:tr>
        <w:tblPrEx/>
        <w:trPr>
          <w:trHeight w:val="315"/>
        </w:trPr>
        <w:tc>
          <w:tcPr>
            <w:shd w:val="clear" w:color="auto" w:fill="auto"/>
            <w:tcW w:w="9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Показатель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gridSpan w:val="3"/>
            <w:shd w:val="clear" w:color="auto" w:fill="auto"/>
            <w:tcW w:w="365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Значение показателя, годы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</w:tr>
      <w:tr>
        <w:tblPrEx/>
        <w:trPr>
          <w:trHeight w:val="945"/>
        </w:trPr>
        <w:tc>
          <w:tcPr>
            <w:tcW w:w="96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tcW w:w="626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 г.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 г.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Динамика изменения показателя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Показатель средней продолжительности прекращений передачи электрической энергии (Пsaidi)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2,6562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2,6181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-1,44%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ВН (110 кВ и выше)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СН1 (35 - 60 кВ)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СН2 (1 - 20 кВ)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НН (до 1 кВ)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435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Показатель средней частоты прекращений передачи электрической энергии (Пsaifi)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2,0267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1,8119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-10,60%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ВН (110 кВ и выше)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СН1 (35 - 60 кВ)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СН2 (1 - 20 кВ)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НН (до 1 кВ)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1493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Показатель средней 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(Пsaidi, план)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12,3598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12,9603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4,86%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00"/>
            </w:tblGrid>
            <w:tr>
              <w:tblPrEx/>
              <w:trPr>
                <w:tblCellSpacing w:w="0" w:type="dxa"/>
                <w:trHeight w:val="315"/>
              </w:trPr>
              <w:tc>
                <w:tcPr>
                  <w:shd w:val="clear" w:color="auto" w:fill="auto"/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5900" w:type="dxa"/>
                  <w:vAlign w:val="center"/>
                  <w:textDirection w:val="lrTb"/>
                  <w:noWrap w:val="false"/>
                </w:tcPr>
                <w:p>
                  <w:pPr>
                    <w:jc w:val="right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Cs w:val="24"/>
                    </w:rPr>
                    <w:t xml:space="preserve">ВН (110 кВ и выше)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Cs w:val="24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СН1 (35 - 60 кВ)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СН2 (1 - 20 кВ)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НН (до 1 кВ)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1226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Показател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(Пsaifi, план)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3,1622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3,2667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3,30%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00"/>
            </w:tblGrid>
            <w:tr>
              <w:tblPrEx/>
              <w:trPr>
                <w:tblCellSpacing w:w="0" w:type="dxa"/>
                <w:trHeight w:val="315"/>
              </w:trPr>
              <w:tc>
                <w:tcPr>
                  <w:shd w:val="clear" w:color="auto" w:fill="auto"/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5900" w:type="dxa"/>
                  <w:vAlign w:val="center"/>
                  <w:textDirection w:val="lrTb"/>
                  <w:noWrap w:val="false"/>
                </w:tcPr>
                <w:p>
                  <w:pPr>
                    <w:jc w:val="right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Cs w:val="24"/>
                    </w:rPr>
                    <w:t xml:space="preserve">ВН (110 кВ и выше)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Cs w:val="24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СН1 (35 - 60 кВ)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СН2 (1 - 20 кВ)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НН (до 1 кВ)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674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840"/>
        </w:trPr>
        <w:tc>
          <w:tcPr>
            <w:shd w:val="clear" w:color="auto" w:fill="auto"/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5.1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626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  <w:t xml:space="preserve"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9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Cs w:val="24"/>
              </w:rPr>
            </w:r>
          </w:p>
        </w:tc>
        <w:tc>
          <w:tcPr>
            <w:shd w:val="clear" w:color="auto" w:fill="auto"/>
            <w:tcW w:w="1340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</w:tbl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  <w:sectPr>
          <w:footnotePr/>
          <w:endnotePr/>
          <w:type w:val="nextPage"/>
          <w:pgSz w:w="11906" w:h="16838" w:orient="portrait"/>
          <w:pgMar w:top="851" w:right="851" w:bottom="851" w:left="85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Рейтинг структурных единиц сетевой организации </w:t>
      </w:r>
      <w:r>
        <w:rPr>
          <w:rFonts w:ascii="Times New Roman" w:hAnsi="Times New Roman" w:cs="Times New Roman"/>
        </w:rPr>
        <w:t xml:space="preserve">по качеству оказания услуг по передаче электрической энергии, а также по качеству электрической энергии в отчетном периоде.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15247" w:type="dxa"/>
        <w:jc w:val="center"/>
        <w:tblLook w:val="04A0" w:firstRow="1" w:lastRow="0" w:firstColumn="1" w:lastColumn="0" w:noHBand="0" w:noVBand="1"/>
      </w:tblPr>
      <w:tblGrid>
        <w:gridCol w:w="375"/>
        <w:gridCol w:w="1697"/>
        <w:gridCol w:w="522"/>
        <w:gridCol w:w="632"/>
        <w:gridCol w:w="632"/>
        <w:gridCol w:w="534"/>
        <w:gridCol w:w="522"/>
        <w:gridCol w:w="632"/>
        <w:gridCol w:w="632"/>
        <w:gridCol w:w="534"/>
        <w:gridCol w:w="522"/>
        <w:gridCol w:w="632"/>
        <w:gridCol w:w="632"/>
        <w:gridCol w:w="534"/>
        <w:gridCol w:w="522"/>
        <w:gridCol w:w="632"/>
        <w:gridCol w:w="632"/>
        <w:gridCol w:w="534"/>
        <w:gridCol w:w="2153"/>
        <w:gridCol w:w="1742"/>
      </w:tblGrid>
      <w:tr>
        <w:tblPrEx/>
        <w:trPr>
          <w:jc w:val="center"/>
          <w:trHeight w:val="579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Структурная единица сетевой организации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Показатель средней продолжительности прекращений передачи электрической энергии,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br/>
              <w:t xml:space="preserve">Пsaidi 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Показатель средней частоты прекращений передачи электрической энергии,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br/>
              <w:t xml:space="preserve">Пsaifi 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Показ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br/>
              <w:t xml:space="preserve">Пsaidi,рем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br/>
              <w:t xml:space="preserve">Пsaifi,рем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Показатель качества оказания услуг по передаче электри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ческой энергии (отношение общего числа зарегистрированных случаев нарушения качества электрической энергии по вине сетевой организации к максимальному количеству потребителей, обслуживаемых такой структурной единицей сетевой организации в отчетном периоде)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Планируемые мероприятия, направленные на повышение качества оказания услуг по передаче электроэнергии, с указанием сроков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jc w:val="center"/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Филиал «Ростовэнерго»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2,6181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1,8119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12,9603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3,2667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</w:tbl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5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  <w:sectPr>
          <w:footnotePr/>
          <w:endnotePr/>
          <w:type w:val="nextPage"/>
          <w:pgSz w:w="16838" w:h="11906" w:orient="landscape"/>
          <w:pgMar w:top="1134" w:right="1134" w:bottom="851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выполненные сетевой организацией </w:t>
      </w:r>
      <w:r>
        <w:rPr>
          <w:rFonts w:ascii="Times New Roman" w:hAnsi="Times New Roman" w:cs="Times New Roman"/>
        </w:rPr>
        <w:t xml:space="preserve">в целях повышения качества оказания услуг по передаче электрической энергии в отчетном периоде.</w:t>
      </w:r>
      <w:r>
        <w:rPr>
          <w:rFonts w:ascii="Times New Roman" w:hAnsi="Times New Roman" w:cs="Times New Roman"/>
          <w:color w:val="365f91" w:themeColor="accent1" w:themeShade="BF"/>
        </w:rPr>
      </w:r>
      <w:r>
        <w:rPr>
          <w:rFonts w:ascii="Times New Roman" w:hAnsi="Times New Roman" w:cs="Times New Roman"/>
          <w:color w:val="365f91" w:themeColor="accent1" w:themeShade="BF"/>
        </w:rPr>
      </w:r>
    </w:p>
    <w:p>
      <w:pPr>
        <w:ind w:left="426" w:firstLine="708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426" w:firstLine="708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Calibri" w:cs="Times New Roman"/>
        </w:rPr>
        <w:t xml:space="preserve">Все намеченные мероприятия выполнены в полном объеме. Выполнение мероприятий позволило достигнуть в 2024 году установленного Комитетом тарифного регулирования уровня надежности оказываемых услуг – выполнены показатели надежности </w:t>
      </w:r>
      <w:r>
        <w:rPr>
          <w:rFonts w:ascii="Times New Roman" w:hAnsi="Times New Roman" w:eastAsia="Times New Roman" w:cs="Times New Roman"/>
          <w:lang w:eastAsia="ru-RU"/>
        </w:rPr>
        <w:t xml:space="preserve">Пsaidi / Пsaifi.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426" w:firstLine="708"/>
        <w:jc w:val="both"/>
        <w:spacing w:after="0" w:line="240" w:lineRule="auto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pStyle w:val="886"/>
        <w:numPr>
          <w:ilvl w:val="0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t xml:space="preserve">Информация о качестве услуг по технологическому присоединению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о наличии невостребованной мощности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(мощности, определяемой как разность меж</w:t>
      </w:r>
      <w:r>
        <w:rPr>
          <w:rFonts w:ascii="Times New Roman" w:hAnsi="Times New Roman" w:cs="Times New Roman"/>
        </w:rPr>
        <w:t xml:space="preserve">ду трансформаторной мощностью центров питания и суммарной мощностью энергопринимающих устройств, непосредственно (или опосредованно) присоединенных к таким центрам питания, и энергопринимающих устройств, в отношении которых имеются заявки на технологическо</w:t>
      </w:r>
      <w:r>
        <w:rPr>
          <w:rFonts w:ascii="Times New Roman" w:hAnsi="Times New Roman" w:cs="Times New Roman"/>
        </w:rPr>
        <w:t xml:space="preserve">е присоединение) для осуществления технологического присоединения в отчетном периоде, а также о прогнозах ее увеличения с разбивкой по структурным единицам сетевой организации и по уровням напряжения на основании инвестиционной программы такой организации.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3.1. приложение №1.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выполненные сетевой организацией </w:t>
      </w:r>
      <w:r>
        <w:rPr>
          <w:rFonts w:ascii="Times New Roman" w:hAnsi="Times New Roman" w:cs="Times New Roman"/>
        </w:rPr>
        <w:t xml:space="preserve">в целях совершенствования деятельности по технологическому присоединению в отчетном периоде.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 w:firstLine="3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целях совершенствования деятельности по технологическому присоединению в филиале ПАО «Россети Юг» - «</w:t>
      </w:r>
      <w:r>
        <w:rPr>
          <w:rFonts w:ascii="Times New Roman" w:hAnsi="Times New Roman" w:cs="Times New Roman"/>
        </w:rPr>
        <w:t xml:space="preserve">Ростов</w:t>
      </w:r>
      <w:r>
        <w:rPr>
          <w:rFonts w:ascii="Times New Roman" w:hAnsi="Times New Roman" w:cs="Times New Roman"/>
        </w:rPr>
        <w:t xml:space="preserve">энерго» на регулярной основе осущес</w:t>
      </w:r>
      <w:r>
        <w:rPr>
          <w:rFonts w:ascii="Times New Roman" w:hAnsi="Times New Roman" w:cs="Times New Roman"/>
        </w:rPr>
        <w:t xml:space="preserve">твляется взаимодействие с ПАО «ТНСэнерго</w:t>
      </w:r>
      <w:r>
        <w:rPr>
          <w:rFonts w:ascii="Times New Roman" w:hAnsi="Times New Roman" w:cs="Times New Roman"/>
        </w:rPr>
        <w:t xml:space="preserve">» и иными энергоснабжающими организациями по созданию условий для упрощения подключения заявителей к электрическим сетям. Обеспечена возможность заключения договора энергоснабжения до завершения процедуры технологического присоединения.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 w:firstLine="3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Интерактивные сервисы в части оказания услуг клиентам, в том числе по технологическому присоединению, переведены в формат единой точки доступа на базе Портала электросетевых услуг «Россети».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a6a6a6" w:themeColor="background1" w:themeShade="A6"/>
        </w:rPr>
      </w:pPr>
      <w:r>
        <w:rPr>
          <w:rFonts w:ascii="Times New Roman" w:hAnsi="Times New Roman" w:cs="Times New Roman"/>
          <w:color w:val="a6a6a6" w:themeColor="background1" w:themeShade="A6"/>
        </w:rPr>
        <w:t xml:space="preserve">Прочая информация, которую сетевая организация считает целесообразной для включения в отчет, касающаяся предоставления услуг по технологическому присоединению.</w:t>
      </w:r>
      <w:r>
        <w:rPr>
          <w:rFonts w:ascii="Times New Roman" w:hAnsi="Times New Roman" w:cs="Times New Roman"/>
          <w:b/>
          <w:color w:val="a6a6a6" w:themeColor="background1" w:themeShade="A6"/>
        </w:rPr>
      </w:r>
      <w:r>
        <w:rPr>
          <w:rFonts w:ascii="Times New Roman" w:hAnsi="Times New Roman" w:cs="Times New Roman"/>
          <w:b/>
          <w:color w:val="a6a6a6" w:themeColor="background1" w:themeShade="A6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a6a6a6" w:themeColor="background1" w:themeShade="A6"/>
        </w:rPr>
      </w:pPr>
      <w:r>
        <w:rPr>
          <w:rFonts w:ascii="Times New Roman" w:hAnsi="Times New Roman" w:cs="Times New Roman"/>
          <w:b/>
          <w:color w:val="a6a6a6" w:themeColor="background1" w:themeShade="A6"/>
        </w:rPr>
      </w:r>
      <w:r>
        <w:rPr>
          <w:rFonts w:ascii="Times New Roman" w:hAnsi="Times New Roman" w:cs="Times New Roman"/>
          <w:b/>
          <w:color w:val="a6a6a6" w:themeColor="background1" w:themeShade="A6"/>
        </w:rPr>
      </w:r>
      <w:r>
        <w:rPr>
          <w:rFonts w:ascii="Times New Roman" w:hAnsi="Times New Roman" w:cs="Times New Roman"/>
          <w:b/>
          <w:color w:val="a6a6a6" w:themeColor="background1" w:themeShade="A6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Сведения о качестве услуг по технологическому присоединению </w:t>
      </w:r>
      <w:r>
        <w:rPr>
          <w:rFonts w:ascii="Times New Roman" w:hAnsi="Times New Roman" w:cs="Times New Roman"/>
        </w:rPr>
        <w:t xml:space="preserve">к электрическим сетям сетевой организации.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 w:firstLine="336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3.4.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a6a6a6" w:themeColor="background1" w:themeShade="A6"/>
        </w:rPr>
      </w:pPr>
      <w:r>
        <w:rPr>
          <w:rFonts w:ascii="Times New Roman" w:hAnsi="Times New Roman" w:cs="Times New Roman"/>
          <w:color w:val="a6a6a6" w:themeColor="background1" w:themeShade="A6"/>
        </w:rPr>
        <w:t xml:space="preserve">Стоимость технологического присоединения к электрическим сетям сетевой организации (не за</w:t>
      </w:r>
      <w:r>
        <w:rPr>
          <w:rFonts w:ascii="Times New Roman" w:hAnsi="Times New Roman" w:cs="Times New Roman"/>
          <w:color w:val="a6a6a6" w:themeColor="background1" w:themeShade="A6"/>
        </w:rPr>
        <w:t xml:space="preserve">полняется, в случае наличия на официальном сайте сетевой организации в сети Интернет интерактивного инструмента, который позволяет автоматически рассчитывать стоимость технологического присоединения при вводе параметров, предусмотренных настоящим пунктом).</w:t>
      </w:r>
      <w:r>
        <w:rPr>
          <w:rFonts w:ascii="Times New Roman" w:hAnsi="Times New Roman" w:cs="Times New Roman"/>
          <w:b/>
          <w:color w:val="a6a6a6" w:themeColor="background1" w:themeShade="A6"/>
        </w:rPr>
      </w:r>
      <w:r>
        <w:rPr>
          <w:rFonts w:ascii="Times New Roman" w:hAnsi="Times New Roman" w:cs="Times New Roman"/>
          <w:b/>
          <w:color w:val="a6a6a6" w:themeColor="background1" w:themeShade="A6"/>
        </w:rPr>
      </w:r>
    </w:p>
    <w:p>
      <w:pPr>
        <w:pStyle w:val="886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numPr>
          <w:ilvl w:val="0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t xml:space="preserve">Качество обслуживания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Количество обращений, поступивших в сетевую организацию</w:t>
      </w:r>
      <w:r>
        <w:rPr>
          <w:rFonts w:ascii="Times New Roman" w:hAnsi="Times New Roman" w:cs="Times New Roman"/>
        </w:rPr>
        <w:t xml:space="preserve"> (всего), обраще</w:t>
      </w:r>
      <w:r>
        <w:rPr>
          <w:rFonts w:ascii="Times New Roman" w:hAnsi="Times New Roman" w:cs="Times New Roman"/>
        </w:rPr>
        <w:t xml:space="preserve">ний, содержащих жалобу и (или) обращений, содержащих заявку на оказание услуг, поступивших в сетевую организацию, а также количество обращений, по которым были заключены договоры об осуществлении технологического присоединения и (или) договоры об оказании </w:t>
      </w:r>
      <w:r>
        <w:rPr>
          <w:rFonts w:ascii="Times New Roman" w:hAnsi="Times New Roman" w:cs="Times New Roman"/>
        </w:rPr>
        <w:t xml:space="preserve">услуг по передаче электрической энергии, а также по которым были урегулированы жалобы в отчетном периоде, а также динамика по отношению к году, предшествующему отчетному.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ind w:left="372" w:firstLine="708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4.1.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о деятельности офисов обслуживания </w:t>
      </w:r>
      <w:r>
        <w:rPr>
          <w:rFonts w:ascii="Times New Roman" w:hAnsi="Times New Roman" w:cs="Times New Roman"/>
        </w:rPr>
        <w:t xml:space="preserve">потребителей.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firstLine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4.2.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о заочном обслуживании потребителей </w:t>
      </w:r>
      <w:r>
        <w:rPr>
          <w:rFonts w:ascii="Times New Roman" w:hAnsi="Times New Roman" w:cs="Times New Roman"/>
        </w:rPr>
        <w:t xml:space="preserve">посредством телефонной связи.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firstLine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4.3.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rPr>
          <w:rFonts w:ascii="Times New Roman" w:hAnsi="Times New Roman" w:cs="Times New Roman"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br w:type="page" w:clear="all"/>
      </w:r>
      <w:r>
        <w:rPr>
          <w:rFonts w:ascii="Times New Roman" w:hAnsi="Times New Roman" w:cs="Times New Roman"/>
          <w:color w:val="365f91" w:themeColor="accent1" w:themeShade="BF"/>
        </w:rPr>
      </w:r>
      <w:r>
        <w:rPr>
          <w:rFonts w:ascii="Times New Roman" w:hAnsi="Times New Roman" w:cs="Times New Roman"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Категория обращений, в которой зарегистрировано наибольшее число обращений </w:t>
      </w:r>
      <w:r>
        <w:rPr>
          <w:rFonts w:ascii="Times New Roman" w:hAnsi="Times New Roman" w:cs="Times New Roman"/>
        </w:rPr>
        <w:t xml:space="preserve">всего, обращений, содержащих жалобу, обращений, содержащих заявку на оказание услуг, поступивших в отчетном периоде, в соответствии с пунктом 4.1 Информации о качестве обслуживания потребителей услуг.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9820" w:type="dxa"/>
        <w:tblLook w:val="04A0" w:firstRow="1" w:lastRow="0" w:firstColumn="1" w:lastColumn="0" w:noHBand="0" w:noVBand="1"/>
      </w:tblPr>
      <w:tblGrid>
        <w:gridCol w:w="5665"/>
        <w:gridCol w:w="1418"/>
        <w:gridCol w:w="1417"/>
        <w:gridCol w:w="1320"/>
      </w:tblGrid>
      <w:tr>
        <w:tblPrEx/>
        <w:trPr>
          <w:trHeight w:val="57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ДО/ филиала ДО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Филиал ПАО "Россети Юг" - "Ростовэнерго"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обращений, шт.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Темп роста, %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Показатель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Align w:val="bottom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I. Распределение обращений по категории обращений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120474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150827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125,19%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1.1. Жалоба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4648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4733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101,83%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1.2. Запрос справочной информации/консультации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2308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3411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147,79%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 Заявка на оказание услуг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19513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22635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116,00%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1.3.1. заявка на ТП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9625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10781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112,01%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1.3.2. заявление на переоформление (восстановление) документов ТП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1302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1678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128,88%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1.3.3. заявление на перераспределение мощности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0,00%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1.3.4. заявка на установку/замену прибора учета по ФЗ-522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114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57,00%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1.3.5. заявление на заключение договора по передаче электроэнергии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0,00%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1.3.6. заявка на дополнительные услуги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6594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8787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133,26%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1.3.7. прочее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1789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1273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71,16%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1.4. Приём/выдача документов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0,00%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1.5. Сообщение информации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93875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119920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127,74%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      из них по аварийным отключениям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72568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37073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51,09%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1.6. Прием платежей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0,00%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1.7. Отзыв о деятельности компании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88,89%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1.8. Предложение по повышению качества обслуживания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0,00%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5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1.9. Прочие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121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115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95,04%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Описание дополнительных услуг</w:t>
      </w:r>
      <w:r>
        <w:rPr>
          <w:rFonts w:ascii="Times New Roman" w:hAnsi="Times New Roman" w:cs="Times New Roman"/>
        </w:rPr>
        <w:t xml:space="preserve">, оказываемых потребителю, помимо услуг, указанных в Единых стандартах качества обслуживания сетевыми организациями потребителей сетевых организаций.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Кроме основных видов деятельности, филиал ПАО «Россети Юг» - «</w:t>
      </w:r>
      <w:r>
        <w:rPr>
          <w:rFonts w:ascii="Times New Roman" w:hAnsi="Times New Roman" w:cs="Times New Roman"/>
        </w:rPr>
        <w:t xml:space="preserve">Ростовэнерго</w:t>
      </w:r>
      <w:r>
        <w:rPr>
          <w:rFonts w:ascii="Times New Roman" w:hAnsi="Times New Roman" w:cs="Times New Roman"/>
        </w:rPr>
        <w:t xml:space="preserve">» осуществляет прочие виды деятельности в рамках оказания дополнительных (нетарифных) услуг.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Филиалом на возмез</w:t>
      </w:r>
      <w:r>
        <w:rPr>
          <w:rFonts w:ascii="Times New Roman" w:hAnsi="Times New Roman" w:cs="Times New Roman"/>
        </w:rPr>
        <w:t xml:space="preserve">дной основе оказываются услуги по организации учета электрической энергии, техническому и ремонтно-эксплуатационному обслуживанию электросетевых объектов, совместному использованию опор, размещению оборудования, выполнению строительно-монтажных работ и пр.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Оказание дополнительных (нетарифных) услуг осуществляется в соответствии с перечнем дополнительных (нетарифных) услуг ПАО «Россети Юг»: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Аренда и услуги по размещению;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Услуги по техническому и ремонтно-эксплуатационному обслуживанию;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Выполнение строительно-монтажных работ;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Консультационные и организационно-технические услуги;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Агентские услуги;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Услуги связи и информационных технологий;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Другие услуги прочей деятельности;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Другие прочие услуги.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направленные на работу с социально уязвимыми группами населения.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Филиал ПАО «Россети Юг» - «</w:t>
      </w:r>
      <w:r>
        <w:rPr>
          <w:rFonts w:ascii="Times New Roman" w:hAnsi="Times New Roman" w:cs="Times New Roman"/>
        </w:rPr>
        <w:t xml:space="preserve">Ростовэнерго</w:t>
      </w:r>
      <w:r>
        <w:rPr>
          <w:rFonts w:ascii="Times New Roman" w:hAnsi="Times New Roman" w:cs="Times New Roman"/>
        </w:rPr>
        <w:t xml:space="preserve">» обеспечивает обслуживание потребителей с соблюдением требований к организации офисов обслуживания потребителей, предусмотренных Стандартом качества обслуживания потребителей услуг ПАО «Россети Юг».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Темы и результаты опросов потребителей, проводимых сетевой организацией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ля изучения мнения потребителей услуг о качестве предоставляемых услуг на регулярной основе проводится анкетирование потребителей услуг. С целью оценки удовлетворенности потребителей качеством обслуживания в 2024 году собрано и проанализировано 115 анкет.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526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60"/>
        <w:gridCol w:w="1429"/>
        <w:gridCol w:w="1501"/>
        <w:gridCol w:w="992"/>
        <w:gridCol w:w="1276"/>
        <w:gridCol w:w="2268"/>
      </w:tblGrid>
      <w:tr>
        <w:tblPrEx/>
        <w:trPr>
          <w:trHeight w:val="510"/>
        </w:trPr>
        <w:tc>
          <w:tcPr>
            <w:shd w:val="clear" w:color="auto" w:fill="auto"/>
            <w:tcW w:w="2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Наименование филиала 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ПАО "Россети Юг"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  <w:tc>
          <w:tcPr>
            <w:shd w:val="clear" w:color="auto" w:fill="auto"/>
            <w:tcW w:w="142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Метод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  <w:tc>
          <w:tcPr>
            <w:shd w:val="clear" w:color="auto" w:fill="auto"/>
            <w:tcW w:w="15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Объект исследования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Период проведения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Количество респондентов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Цель исследования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</w:tr>
      <w:tr>
        <w:tblPrEx/>
        <w:trPr>
          <w:trHeight w:val="1785"/>
        </w:trPr>
        <w:tc>
          <w:tcPr>
            <w:shd w:val="clear" w:color="auto" w:fill="auto"/>
            <w:tcW w:w="20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Филиал ПАО "Россети Юг" - "</w:t>
            </w:r>
            <w:r>
              <w:rPr>
                <w:rFonts w:ascii="Times New Roman" w:hAnsi="Times New Roman" w:cs="Times New Roman"/>
              </w:rPr>
              <w:t xml:space="preserve">Ростовэнерго</w:t>
            </w:r>
            <w:r>
              <w:rPr>
                <w:rFonts w:ascii="Times New Roman" w:hAnsi="Times New Roman" w:cs="Times New Roman"/>
              </w:rPr>
              <w:t xml:space="preserve">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142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Интервью по телефону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Потребители филиала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доступности энергетической инфраструктуры в рамках национального рейтинга состояния инвестиционного климата по направлению "Эффективность процедур по подключению электроэнергии"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Полученные статистические данные </w:t>
      </w:r>
      <w:r>
        <w:rPr>
          <w:rFonts w:ascii="Times New Roman" w:hAnsi="Times New Roman" w:cs="Times New Roman"/>
        </w:rPr>
        <w:t xml:space="preserve">говорят о том, что потребители в целом положительно оценивают качество предоставляемых услуг, следовательно, филиал в полной мере реализует клиентоориентированную политику, которая отражает место интересов потребителей услуг в системе приоритетов компании.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86"/>
        <w:ind w:left="1080"/>
        <w:jc w:val="both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86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выполняемые сетевой организацией </w:t>
      </w:r>
      <w:r>
        <w:rPr>
          <w:rFonts w:ascii="Times New Roman" w:hAnsi="Times New Roman" w:cs="Times New Roman"/>
        </w:rPr>
        <w:t xml:space="preserve">в целях повышения качества обслуживания потребителей.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left="1080" w:firstLine="338"/>
        <w:jc w:val="both"/>
        <w:spacing w:after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 202</w:t>
      </w:r>
      <w:r>
        <w:rPr>
          <w:rFonts w:ascii="Times New Roman" w:hAnsi="Times New Roman" w:cs="Times New Roman"/>
          <w:color w:val="auto"/>
        </w:rPr>
        <w:t xml:space="preserve">4</w:t>
      </w:r>
      <w:r>
        <w:rPr>
          <w:rFonts w:ascii="Times New Roman" w:hAnsi="Times New Roman" w:cs="Times New Roman"/>
          <w:color w:val="auto"/>
        </w:rPr>
        <w:t xml:space="preserve"> г. реализованы следующие мероприятия по повышению качества услуг и обслуживания:</w:t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>
      <w:pPr>
        <w:pStyle w:val="886"/>
        <w:ind w:left="1080" w:firstLine="33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1. Оптимизирован порядок взаимодействия с гарантирующим поставщиком в процессе технологического присоединения к электрическим сет</w:t>
      </w:r>
      <w:r>
        <w:rPr>
          <w:rFonts w:ascii="Times New Roman" w:hAnsi="Times New Roman" w:cs="Times New Roman"/>
          <w:color w:val="auto"/>
        </w:rPr>
        <w:t xml:space="preserve">ям заявителей, указанных в п. 12(1), 13(2) – 13(5) и п. 14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</w:t>
      </w:r>
      <w:r>
        <w:rPr>
          <w:rFonts w:ascii="Times New Roman" w:hAnsi="Times New Roman" w:cs="Times New Roman"/>
          <w:color w:val="auto"/>
        </w:rPr>
        <w:t xml:space="preserve">надлежащих сетевым организациям и иным лицам, к электрическим сетям, утвержденных Постановлением Правительства РФ 27.12.2004 № 861, а также заявителей – физических лиц, энергопринимающие устройства которых соответствуют критериям, указанным в пункте 12(1).</w:t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>
      <w:pPr>
        <w:pStyle w:val="886"/>
        <w:ind w:left="1080" w:firstLine="338"/>
        <w:jc w:val="both"/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2</w:t>
      </w:r>
      <w:r>
        <w:rPr>
          <w:rFonts w:ascii="Times New Roman" w:hAnsi="Times New Roman" w:cs="Times New Roman"/>
          <w:color w:val="auto"/>
          <w:highlight w:val="white"/>
        </w:rPr>
        <w:t xml:space="preserve">. Проведен семинар – совещание с участием представителей бизнеса и органов исполнительной власти Ростовской области, направленных на повышение информированности заявителей об услугах и сервисах, предоставляемых Обществом.</w:t>
      </w:r>
      <w:r>
        <w:rPr>
          <w:rFonts w:ascii="Times New Roman" w:hAnsi="Times New Roman" w:cs="Times New Roman"/>
          <w:color w:val="auto"/>
          <w:highlight w:val="none"/>
        </w:rPr>
      </w:r>
      <w:r>
        <w:rPr>
          <w:rFonts w:ascii="Times New Roman" w:hAnsi="Times New Roman" w:cs="Times New Roman"/>
          <w:color w:val="auto"/>
          <w:highlight w:val="none"/>
        </w:rPr>
      </w:r>
    </w:p>
    <w:p>
      <w:pPr>
        <w:pStyle w:val="886"/>
        <w:ind w:left="1080" w:firstLine="338"/>
        <w:jc w:val="both"/>
        <w:rPr>
          <w:rFonts w:ascii="Times New Roman" w:hAnsi="Times New Roman" w:cs="Times New Roman"/>
          <w:color w:val="auto"/>
          <w:highlight w:val="white"/>
        </w:rPr>
      </w:pPr>
      <w:r>
        <w:rPr>
          <w:rFonts w:ascii="Times New Roman" w:hAnsi="Times New Roman" w:cs="Times New Roman"/>
          <w:color w:val="auto"/>
          <w:highlight w:val="none"/>
        </w:rPr>
        <w:t xml:space="preserve">3.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Проведено обучение работников, задействованных в обслуживании потребителей </w:t>
        <w:br/>
        <w:t xml:space="preserve">ПАО «Россети Юг». </w:t>
      </w:r>
      <w:r>
        <w:rPr>
          <w:rFonts w:ascii="Times New Roman" w:hAnsi="Times New Roman" w:cs="Times New Roman"/>
          <w:color w:val="auto"/>
          <w:highlight w:val="white"/>
        </w:rPr>
      </w:r>
      <w:r>
        <w:rPr>
          <w:rFonts w:ascii="Times New Roman" w:hAnsi="Times New Roman" w:cs="Times New Roman"/>
          <w:color w:val="auto"/>
          <w:highlight w:val="white"/>
        </w:rPr>
      </w:r>
    </w:p>
    <w:p>
      <w:pPr>
        <w:pStyle w:val="886"/>
        <w:ind w:left="1080" w:firstLine="33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4. </w:t>
      </w:r>
      <w:r>
        <w:rPr>
          <w:rFonts w:ascii="Times New Roman" w:hAnsi="Times New Roman" w:cs="Times New Roman"/>
          <w:color w:val="auto"/>
        </w:rPr>
        <w:t xml:space="preserve">Модернизирован раздел «Потребителям» на официальном сайте Общества в части соответствия требованиям Стандартов качества обслуживания потребителей услуг.</w:t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>
      <w:pPr>
        <w:pStyle w:val="886"/>
        <w:ind w:left="1080" w:firstLine="338"/>
        <w:jc w:val="both"/>
        <w:spacing w:after="0" w:afterAutospacing="0"/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</w:rPr>
        <w:t xml:space="preserve">5. </w:t>
      </w:r>
      <w:r>
        <w:rPr>
          <w:rFonts w:ascii="Times New Roman" w:hAnsi="Times New Roman"/>
          <w:iCs/>
          <w:color w:val="auto"/>
          <w:sz w:val="22"/>
          <w:szCs w:val="22"/>
        </w:rPr>
        <w:t xml:space="preserve"> </w:t>
      </w:r>
      <w:r>
        <w:rPr>
          <w:rFonts w:ascii="Times New Roman" w:hAnsi="Times New Roman"/>
          <w:iCs/>
          <w:color w:val="auto"/>
          <w:sz w:val="22"/>
          <w:szCs w:val="22"/>
        </w:rPr>
        <w:t xml:space="preserve">На официальном сайте компании обновлен проект «День потребителя», разработан и реализован веб-интерфейс анкеты потребителя.</w:t>
      </w:r>
      <w:r>
        <w:rPr>
          <w:rFonts w:ascii="Times New Roman" w:hAnsi="Times New Roman" w:cs="Times New Roman"/>
          <w:color w:val="auto"/>
          <w:highlight w:val="none"/>
        </w:rPr>
      </w:r>
      <w:r>
        <w:rPr>
          <w:rFonts w:ascii="Times New Roman" w:hAnsi="Times New Roman" w:cs="Times New Roman"/>
          <w:color w:val="auto"/>
          <w:highlight w:val="none"/>
        </w:rPr>
      </w:r>
    </w:p>
    <w:p>
      <w:pPr>
        <w:ind w:left="992" w:right="0" w:firstLine="425"/>
        <w:jc w:val="both"/>
        <w:spacing w:after="0"/>
        <w:rPr>
          <w:color w:val="auto"/>
          <w:sz w:val="22"/>
          <w:szCs w:val="22"/>
        </w:rPr>
        <w:suppressLineNumbers w:val="0"/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6.  На территории присутствия филиала «Ростовэнерго» 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запущен единый короткий номер 220 горячей линии энергетиков «Светлая линия 220».</w:t>
      </w:r>
      <w:r>
        <w:rPr>
          <w:color w:val="auto"/>
          <w:sz w:val="22"/>
          <w:szCs w:val="22"/>
        </w:rPr>
      </w:r>
      <w:r>
        <w:rPr>
          <w:color w:val="auto"/>
          <w:sz w:val="22"/>
          <w:szCs w:val="22"/>
        </w:rPr>
      </w:r>
    </w:p>
    <w:p>
      <w:pPr>
        <w:contextualSpacing/>
        <w:ind w:left="992" w:right="0" w:firstLine="426"/>
        <w:jc w:val="both"/>
        <w:keepNext w:val="0"/>
        <w:spacing w:line="240" w:lineRule="auto"/>
        <w:tabs>
          <w:tab w:val="left" w:pos="426" w:leader="none"/>
        </w:tabs>
        <w:rPr>
          <w:rFonts w:ascii="Times New Roman" w:hAnsi="Times New Roman" w:eastAsia="Times New Roman" w:cs="Times New Roman"/>
          <w:color w:val="auto" w:themeColor="text1"/>
          <w:sz w:val="22"/>
          <w:szCs w:val="22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7.  Изготовлены графические макеты об услугах и сервисах, предоставляемых Обществом, в том числе в цифровом формате, выполнена полиграфическая печать.</w:t>
      </w:r>
      <w:r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color w:val="auto" w:themeColor="text1"/>
          <w:sz w:val="22"/>
          <w:szCs w:val="22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auto" w:themeColor="text1"/>
          <w:sz w:val="22"/>
          <w:szCs w:val="22"/>
          <w:highlight w:val="none"/>
          <w14:ligatures w14:val="none"/>
        </w:rPr>
      </w:r>
    </w:p>
    <w:p>
      <w:pPr>
        <w:contextualSpacing/>
        <w:ind w:left="992" w:right="0" w:firstLine="426"/>
        <w:jc w:val="both"/>
        <w:keepNext w:val="0"/>
        <w:spacing w:line="240" w:lineRule="auto"/>
        <w:tabs>
          <w:tab w:val="left" w:pos="426" w:leader="none"/>
        </w:tabs>
        <w:rPr>
          <w:rFonts w:ascii="Times New Roman" w:hAnsi="Times New Roman" w:eastAsia="Times New Roman" w:cs="Times New Roman"/>
          <w:color w:val="auto"/>
          <w:sz w:val="22"/>
          <w:szCs w:val="22"/>
          <w14:ligatures w14:val="none"/>
        </w:rPr>
      </w:pPr>
      <w:r>
        <w:rPr>
          <w:rFonts w:ascii="Times New Roman" w:hAnsi="Times New Roman" w:eastAsia="Times New Roman" w:cs="Times New Roman"/>
          <w:color w:val="auto"/>
          <w:sz w:val="22"/>
          <w:szCs w:val="22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auto"/>
          <w:sz w:val="22"/>
          <w:szCs w:val="22"/>
          <w14:ligatures w14:val="none"/>
        </w:rPr>
      </w:r>
      <w:r>
        <w:rPr>
          <w:rFonts w:ascii="Times New Roman" w:hAnsi="Times New Roman" w:eastAsia="Times New Roman" w:cs="Times New Roman"/>
          <w:color w:val="auto"/>
          <w:sz w:val="22"/>
          <w:szCs w:val="22"/>
          <w14:ligatures w14:val="none"/>
        </w:rPr>
      </w:r>
    </w:p>
    <w:p>
      <w:pPr>
        <w:ind w:left="1080" w:hanging="72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hint="default" w:ascii="Times New Roman" w:hAnsi="Times New Roman" w:eastAsia="Times New Roman" w:cs="Times New Roman"/>
          <w:b/>
          <w:bCs/>
          <w:color w:val="1f497d" w:themeColor="text2"/>
          <w:sz w:val="28"/>
          <w:szCs w:val="28"/>
        </w:rPr>
        <w:t xml:space="preserve">4.9. </w:t>
      </w:r>
      <w:r>
        <w:rPr>
          <w:rFonts w:ascii="Times New Roman" w:hAnsi="Times New Roman" w:cs="Times New Roman"/>
          <w:color w:val="365f91" w:themeColor="accent1" w:themeShade="BF"/>
        </w:rPr>
        <w:t xml:space="preserve">Информация по обращениям потребителей.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86"/>
        <w:ind w:firstLine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4.9.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Arial Narrow">
    <w:panose1 w:val="020B0604020202020204"/>
  </w:font>
  <w:font w:name="Times New Roman">
    <w:panose1 w:val="02020603050405020304"/>
  </w:font>
  <w:font w:name="Geometria Medium">
    <w:panose1 w:val="02000603000000000000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2136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1800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 Narrow" w:hAnsi="Arial Narrow" w:cs="Arial" w:eastAsiaTheme="minorHAnsi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b/>
        <w:color w:val="1f497d" w:themeColor="text2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180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 Narrow" w:hAnsi="Arial Narrow" w:cs="Arial" w:eastAsiaTheme="minorHAnsi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b/>
        <w:color w:val="1f497d" w:themeColor="text2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2136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2136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18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 Narrow" w:hAnsi="Arial Narrow" w:cs="Arial" w:eastAsiaTheme="minorHAnsi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b/>
        <w:color w:val="1f497d" w:themeColor="text2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180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Ø"/>
      <w:lvlJc w:val="left"/>
      <w:pPr>
        <w:ind w:left="709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Ø"/>
      <w:lvlJc w:val="left"/>
      <w:pPr>
        <w:ind w:left="2127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84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6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8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0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2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4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6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87" w:hanging="360"/>
      </w:pPr>
      <w:rPr>
        <w:rFonts w:hint="default" w:ascii="Wingdings" w:hAnsi="Wingdings" w:eastAsia="Wingdings" w:cs="Wingdings"/>
      </w:r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14"/>
    <w:lvlOverride w:ilvl="0">
      <w:startOverride w:val="1"/>
    </w:lvlOverride>
  </w:num>
  <w:num w:numId="5">
    <w:abstractNumId w:val="10"/>
  </w:num>
  <w:num w:numId="6">
    <w:abstractNumId w:val="4"/>
  </w:num>
  <w:num w:numId="7">
    <w:abstractNumId w:val="1"/>
  </w:num>
  <w:num w:numId="8">
    <w:abstractNumId w:val="5"/>
  </w:num>
  <w:num w:numId="9">
    <w:abstractNumId w:val="2"/>
  </w:num>
  <w:num w:numId="10">
    <w:abstractNumId w:val="7"/>
  </w:num>
  <w:num w:numId="11">
    <w:abstractNumId w:val="12"/>
  </w:num>
  <w:num w:numId="12">
    <w:abstractNumId w:val="11"/>
  </w:num>
  <w:num w:numId="13">
    <w:abstractNumId w:val="9"/>
  </w:num>
  <w:num w:numId="14">
    <w:abstractNumId w:val="6"/>
  </w:num>
  <w:num w:numId="15">
    <w:abstractNumId w:val="8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0">
    <w:name w:val="Heading 1 Char"/>
    <w:basedOn w:val="717"/>
    <w:link w:val="708"/>
    <w:uiPriority w:val="9"/>
    <w:rPr>
      <w:rFonts w:ascii="Arial" w:hAnsi="Arial" w:eastAsia="Arial" w:cs="Arial"/>
      <w:sz w:val="40"/>
      <w:szCs w:val="40"/>
    </w:rPr>
  </w:style>
  <w:style w:type="character" w:styleId="691">
    <w:name w:val="Heading 2 Char"/>
    <w:basedOn w:val="717"/>
    <w:link w:val="709"/>
    <w:uiPriority w:val="9"/>
    <w:rPr>
      <w:rFonts w:ascii="Arial" w:hAnsi="Arial" w:eastAsia="Arial" w:cs="Arial"/>
      <w:sz w:val="34"/>
    </w:rPr>
  </w:style>
  <w:style w:type="character" w:styleId="692">
    <w:name w:val="Heading 3 Char"/>
    <w:basedOn w:val="717"/>
    <w:link w:val="710"/>
    <w:uiPriority w:val="9"/>
    <w:rPr>
      <w:rFonts w:ascii="Arial" w:hAnsi="Arial" w:eastAsia="Arial" w:cs="Arial"/>
      <w:sz w:val="30"/>
      <w:szCs w:val="30"/>
    </w:rPr>
  </w:style>
  <w:style w:type="character" w:styleId="693">
    <w:name w:val="Heading 4 Char"/>
    <w:basedOn w:val="717"/>
    <w:link w:val="711"/>
    <w:uiPriority w:val="9"/>
    <w:rPr>
      <w:rFonts w:ascii="Arial" w:hAnsi="Arial" w:eastAsia="Arial" w:cs="Arial"/>
      <w:b/>
      <w:bCs/>
      <w:sz w:val="26"/>
      <w:szCs w:val="26"/>
    </w:rPr>
  </w:style>
  <w:style w:type="character" w:styleId="694">
    <w:name w:val="Heading 5 Char"/>
    <w:basedOn w:val="717"/>
    <w:link w:val="712"/>
    <w:uiPriority w:val="9"/>
    <w:rPr>
      <w:rFonts w:ascii="Arial" w:hAnsi="Arial" w:eastAsia="Arial" w:cs="Arial"/>
      <w:b/>
      <w:bCs/>
      <w:sz w:val="24"/>
      <w:szCs w:val="24"/>
    </w:rPr>
  </w:style>
  <w:style w:type="character" w:styleId="695">
    <w:name w:val="Heading 6 Char"/>
    <w:basedOn w:val="717"/>
    <w:link w:val="713"/>
    <w:uiPriority w:val="9"/>
    <w:rPr>
      <w:rFonts w:ascii="Arial" w:hAnsi="Arial" w:eastAsia="Arial" w:cs="Arial"/>
      <w:b/>
      <w:bCs/>
      <w:sz w:val="22"/>
      <w:szCs w:val="22"/>
    </w:rPr>
  </w:style>
  <w:style w:type="character" w:styleId="696">
    <w:name w:val="Heading 7 Char"/>
    <w:basedOn w:val="717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8 Char"/>
    <w:basedOn w:val="717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698">
    <w:name w:val="Heading 9 Char"/>
    <w:basedOn w:val="717"/>
    <w:link w:val="716"/>
    <w:uiPriority w:val="9"/>
    <w:rPr>
      <w:rFonts w:ascii="Arial" w:hAnsi="Arial" w:eastAsia="Arial" w:cs="Arial"/>
      <w:i/>
      <w:iCs/>
      <w:sz w:val="21"/>
      <w:szCs w:val="21"/>
    </w:rPr>
  </w:style>
  <w:style w:type="character" w:styleId="699">
    <w:name w:val="Title Char"/>
    <w:basedOn w:val="717"/>
    <w:link w:val="730"/>
    <w:uiPriority w:val="10"/>
    <w:rPr>
      <w:sz w:val="48"/>
      <w:szCs w:val="48"/>
    </w:rPr>
  </w:style>
  <w:style w:type="character" w:styleId="700">
    <w:name w:val="Subtitle Char"/>
    <w:basedOn w:val="717"/>
    <w:link w:val="732"/>
    <w:uiPriority w:val="11"/>
    <w:rPr>
      <w:sz w:val="24"/>
      <w:szCs w:val="24"/>
    </w:rPr>
  </w:style>
  <w:style w:type="character" w:styleId="701">
    <w:name w:val="Quote Char"/>
    <w:link w:val="734"/>
    <w:uiPriority w:val="29"/>
    <w:rPr>
      <w:i/>
    </w:rPr>
  </w:style>
  <w:style w:type="character" w:styleId="702">
    <w:name w:val="Intense Quote Char"/>
    <w:link w:val="736"/>
    <w:uiPriority w:val="30"/>
    <w:rPr>
      <w:i/>
    </w:rPr>
  </w:style>
  <w:style w:type="character" w:styleId="703">
    <w:name w:val="Header Char"/>
    <w:basedOn w:val="717"/>
    <w:link w:val="738"/>
    <w:uiPriority w:val="99"/>
  </w:style>
  <w:style w:type="character" w:styleId="704">
    <w:name w:val="Caption Char"/>
    <w:basedOn w:val="742"/>
    <w:link w:val="740"/>
    <w:uiPriority w:val="99"/>
  </w:style>
  <w:style w:type="character" w:styleId="705">
    <w:name w:val="Footnote Text Char"/>
    <w:link w:val="869"/>
    <w:uiPriority w:val="99"/>
    <w:rPr>
      <w:sz w:val="18"/>
    </w:rPr>
  </w:style>
  <w:style w:type="character" w:styleId="706">
    <w:name w:val="Endnote Text Char"/>
    <w:link w:val="872"/>
    <w:uiPriority w:val="99"/>
    <w:rPr>
      <w:sz w:val="20"/>
    </w:rPr>
  </w:style>
  <w:style w:type="paragraph" w:styleId="707" w:default="1">
    <w:name w:val="Normal"/>
    <w:qFormat/>
  </w:style>
  <w:style w:type="paragraph" w:styleId="708">
    <w:name w:val="Heading 1"/>
    <w:basedOn w:val="707"/>
    <w:next w:val="707"/>
    <w:link w:val="720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09">
    <w:name w:val="Heading 2"/>
    <w:basedOn w:val="707"/>
    <w:next w:val="707"/>
    <w:link w:val="72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0">
    <w:name w:val="Heading 3"/>
    <w:basedOn w:val="707"/>
    <w:next w:val="707"/>
    <w:link w:val="72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11">
    <w:name w:val="Heading 4"/>
    <w:basedOn w:val="707"/>
    <w:next w:val="707"/>
    <w:link w:val="72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2">
    <w:name w:val="Heading 5"/>
    <w:basedOn w:val="707"/>
    <w:next w:val="707"/>
    <w:link w:val="72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3">
    <w:name w:val="Heading 6"/>
    <w:basedOn w:val="707"/>
    <w:next w:val="707"/>
    <w:link w:val="725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14">
    <w:name w:val="Heading 7"/>
    <w:basedOn w:val="707"/>
    <w:next w:val="707"/>
    <w:link w:val="72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15">
    <w:name w:val="Heading 8"/>
    <w:basedOn w:val="707"/>
    <w:next w:val="707"/>
    <w:link w:val="72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16">
    <w:name w:val="Heading 9"/>
    <w:basedOn w:val="707"/>
    <w:next w:val="707"/>
    <w:link w:val="72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7" w:default="1">
    <w:name w:val="Default Paragraph Font"/>
    <w:uiPriority w:val="1"/>
    <w:semiHidden/>
    <w:unhideWhenUsed/>
  </w:style>
  <w:style w:type="table" w:styleId="7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9" w:default="1">
    <w:name w:val="No List"/>
    <w:uiPriority w:val="99"/>
    <w:semiHidden/>
    <w:unhideWhenUsed/>
  </w:style>
  <w:style w:type="character" w:styleId="720" w:customStyle="1">
    <w:name w:val="Заголовок 1 Знак"/>
    <w:basedOn w:val="717"/>
    <w:link w:val="708"/>
    <w:uiPriority w:val="9"/>
    <w:rPr>
      <w:rFonts w:ascii="Arial" w:hAnsi="Arial" w:eastAsia="Arial" w:cs="Arial"/>
      <w:sz w:val="40"/>
      <w:szCs w:val="40"/>
    </w:rPr>
  </w:style>
  <w:style w:type="character" w:styleId="721" w:customStyle="1">
    <w:name w:val="Заголовок 2 Знак"/>
    <w:basedOn w:val="717"/>
    <w:link w:val="709"/>
    <w:uiPriority w:val="9"/>
    <w:rPr>
      <w:rFonts w:ascii="Arial" w:hAnsi="Arial" w:eastAsia="Arial" w:cs="Arial"/>
      <w:sz w:val="34"/>
    </w:rPr>
  </w:style>
  <w:style w:type="character" w:styleId="722" w:customStyle="1">
    <w:name w:val="Заголовок 3 Знак"/>
    <w:basedOn w:val="717"/>
    <w:link w:val="710"/>
    <w:uiPriority w:val="9"/>
    <w:rPr>
      <w:rFonts w:ascii="Arial" w:hAnsi="Arial" w:eastAsia="Arial" w:cs="Arial"/>
      <w:sz w:val="30"/>
      <w:szCs w:val="30"/>
    </w:rPr>
  </w:style>
  <w:style w:type="character" w:styleId="723" w:customStyle="1">
    <w:name w:val="Заголовок 4 Знак"/>
    <w:basedOn w:val="717"/>
    <w:link w:val="711"/>
    <w:uiPriority w:val="9"/>
    <w:rPr>
      <w:rFonts w:ascii="Arial" w:hAnsi="Arial" w:eastAsia="Arial" w:cs="Arial"/>
      <w:b/>
      <w:bCs/>
      <w:sz w:val="26"/>
      <w:szCs w:val="26"/>
    </w:rPr>
  </w:style>
  <w:style w:type="character" w:styleId="724" w:customStyle="1">
    <w:name w:val="Заголовок 5 Знак"/>
    <w:basedOn w:val="717"/>
    <w:link w:val="712"/>
    <w:uiPriority w:val="9"/>
    <w:rPr>
      <w:rFonts w:ascii="Arial" w:hAnsi="Arial" w:eastAsia="Arial" w:cs="Arial"/>
      <w:b/>
      <w:bCs/>
      <w:sz w:val="24"/>
      <w:szCs w:val="24"/>
    </w:rPr>
  </w:style>
  <w:style w:type="character" w:styleId="725" w:customStyle="1">
    <w:name w:val="Заголовок 6 Знак"/>
    <w:basedOn w:val="717"/>
    <w:link w:val="713"/>
    <w:uiPriority w:val="9"/>
    <w:rPr>
      <w:rFonts w:ascii="Arial" w:hAnsi="Arial" w:eastAsia="Arial" w:cs="Arial"/>
      <w:b/>
      <w:bCs/>
      <w:sz w:val="22"/>
      <w:szCs w:val="22"/>
    </w:rPr>
  </w:style>
  <w:style w:type="character" w:styleId="726" w:customStyle="1">
    <w:name w:val="Заголовок 7 Знак"/>
    <w:basedOn w:val="717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7" w:customStyle="1">
    <w:name w:val="Заголовок 8 Знак"/>
    <w:basedOn w:val="717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728" w:customStyle="1">
    <w:name w:val="Заголовок 9 Знак"/>
    <w:basedOn w:val="717"/>
    <w:link w:val="716"/>
    <w:uiPriority w:val="9"/>
    <w:rPr>
      <w:rFonts w:ascii="Arial" w:hAnsi="Arial" w:eastAsia="Arial" w:cs="Arial"/>
      <w:i/>
      <w:iCs/>
      <w:sz w:val="21"/>
      <w:szCs w:val="21"/>
    </w:rPr>
  </w:style>
  <w:style w:type="paragraph" w:styleId="729">
    <w:name w:val="No Spacing"/>
    <w:uiPriority w:val="1"/>
    <w:qFormat/>
    <w:pPr>
      <w:spacing w:after="0" w:line="240" w:lineRule="auto"/>
    </w:pPr>
  </w:style>
  <w:style w:type="paragraph" w:styleId="730">
    <w:name w:val="Title"/>
    <w:basedOn w:val="707"/>
    <w:next w:val="707"/>
    <w:link w:val="731"/>
    <w:uiPriority w:val="10"/>
    <w:qFormat/>
    <w:pPr>
      <w:contextualSpacing/>
      <w:spacing w:before="300"/>
    </w:pPr>
    <w:rPr>
      <w:sz w:val="48"/>
      <w:szCs w:val="48"/>
    </w:rPr>
  </w:style>
  <w:style w:type="character" w:styleId="731" w:customStyle="1">
    <w:name w:val="Заголовок Знак"/>
    <w:basedOn w:val="717"/>
    <w:link w:val="730"/>
    <w:uiPriority w:val="10"/>
    <w:rPr>
      <w:sz w:val="48"/>
      <w:szCs w:val="48"/>
    </w:rPr>
  </w:style>
  <w:style w:type="paragraph" w:styleId="732">
    <w:name w:val="Subtitle"/>
    <w:basedOn w:val="707"/>
    <w:next w:val="707"/>
    <w:link w:val="733"/>
    <w:uiPriority w:val="11"/>
    <w:qFormat/>
    <w:pPr>
      <w:spacing w:before="200"/>
    </w:pPr>
    <w:rPr>
      <w:sz w:val="24"/>
      <w:szCs w:val="24"/>
    </w:rPr>
  </w:style>
  <w:style w:type="character" w:styleId="733" w:customStyle="1">
    <w:name w:val="Подзаголовок Знак"/>
    <w:basedOn w:val="717"/>
    <w:link w:val="732"/>
    <w:uiPriority w:val="11"/>
    <w:rPr>
      <w:sz w:val="24"/>
      <w:szCs w:val="24"/>
    </w:rPr>
  </w:style>
  <w:style w:type="paragraph" w:styleId="734">
    <w:name w:val="Quote"/>
    <w:basedOn w:val="707"/>
    <w:next w:val="707"/>
    <w:link w:val="735"/>
    <w:uiPriority w:val="29"/>
    <w:qFormat/>
    <w:pPr>
      <w:ind w:left="720" w:right="720"/>
    </w:pPr>
    <w:rPr>
      <w:i/>
    </w:rPr>
  </w:style>
  <w:style w:type="character" w:styleId="735" w:customStyle="1">
    <w:name w:val="Цитата 2 Знак"/>
    <w:link w:val="734"/>
    <w:uiPriority w:val="29"/>
    <w:rPr>
      <w:i/>
    </w:rPr>
  </w:style>
  <w:style w:type="paragraph" w:styleId="736">
    <w:name w:val="Intense Quote"/>
    <w:basedOn w:val="707"/>
    <w:next w:val="707"/>
    <w:link w:val="73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7" w:customStyle="1">
    <w:name w:val="Выделенная цитата Знак"/>
    <w:link w:val="736"/>
    <w:uiPriority w:val="30"/>
    <w:rPr>
      <w:i/>
    </w:rPr>
  </w:style>
  <w:style w:type="paragraph" w:styleId="738">
    <w:name w:val="Header"/>
    <w:basedOn w:val="707"/>
    <w:link w:val="73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9" w:customStyle="1">
    <w:name w:val="Верхний колонтитул Знак"/>
    <w:basedOn w:val="717"/>
    <w:link w:val="738"/>
    <w:uiPriority w:val="99"/>
  </w:style>
  <w:style w:type="paragraph" w:styleId="740">
    <w:name w:val="Footer"/>
    <w:basedOn w:val="707"/>
    <w:link w:val="7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1" w:customStyle="1">
    <w:name w:val="Footer Char"/>
    <w:basedOn w:val="717"/>
    <w:uiPriority w:val="99"/>
  </w:style>
  <w:style w:type="paragraph" w:styleId="742">
    <w:name w:val="Caption"/>
    <w:basedOn w:val="707"/>
    <w:next w:val="707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43" w:customStyle="1">
    <w:name w:val="Нижний колонтитул Знак"/>
    <w:link w:val="740"/>
    <w:uiPriority w:val="99"/>
  </w:style>
  <w:style w:type="table" w:styleId="744" w:customStyle="1">
    <w:name w:val="Table Grid Light"/>
    <w:basedOn w:val="71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5">
    <w:name w:val="Plain Table 1"/>
    <w:basedOn w:val="71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>
    <w:name w:val="Plain Table 2"/>
    <w:basedOn w:val="71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7">
    <w:name w:val="Plain Table 3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8">
    <w:name w:val="Plain Table 4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Plain Table 5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0">
    <w:name w:val="Grid Table 1 Light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4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 w:customStyle="1">
    <w:name w:val="Grid Table 4 - Accent 1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3" w:customStyle="1">
    <w:name w:val="Grid Table 4 - Accent 2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4" w:customStyle="1">
    <w:name w:val="Grid Table 4 - Accent 3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75" w:customStyle="1">
    <w:name w:val="Grid Table 4 - Accent 4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76" w:customStyle="1">
    <w:name w:val="Grid Table 4 - Accent 5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7" w:customStyle="1">
    <w:name w:val="Grid Table 4 - Accent 6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8">
    <w:name w:val="Grid Table 5 Dark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2" w:customStyle="1">
    <w:name w:val="Grid Table 5 Dark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85">
    <w:name w:val="Grid Table 6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6" w:customStyle="1">
    <w:name w:val="Grid Table 6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7" w:customStyle="1">
    <w:name w:val="Grid Table 6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8" w:customStyle="1">
    <w:name w:val="Grid Table 6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9" w:customStyle="1">
    <w:name w:val="Grid Table 6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0" w:customStyle="1">
    <w:name w:val="Grid Table 6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1" w:customStyle="1">
    <w:name w:val="Grid Table 6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2">
    <w:name w:val="Grid Table 7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7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7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7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7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1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2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3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4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5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6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0" w:customStyle="1">
    <w:name w:val="List Table 2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3">
    <w:name w:val="List Table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5 Dark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 w:customStyle="1">
    <w:name w:val="List Table 5 Dark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>
    <w:name w:val="List Table 6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5" w:customStyle="1">
    <w:name w:val="List Table 6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6" w:customStyle="1">
    <w:name w:val="List Table 6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7" w:customStyle="1">
    <w:name w:val="List Table 6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8" w:customStyle="1">
    <w:name w:val="List Table 6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9" w:customStyle="1">
    <w:name w:val="List Table 6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0" w:customStyle="1">
    <w:name w:val="List Table 6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1">
    <w:name w:val="List Table 7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7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7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7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7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ned - Accent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9" w:customStyle="1">
    <w:name w:val="Lined - Accent 1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0" w:customStyle="1">
    <w:name w:val="Lined - Accent 2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1" w:customStyle="1">
    <w:name w:val="Lined - Accent 3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2" w:customStyle="1">
    <w:name w:val="Lined - Accent 4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3" w:customStyle="1">
    <w:name w:val="Lined - Accent 5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4" w:customStyle="1">
    <w:name w:val="Lined - Accent 6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5" w:customStyle="1">
    <w:name w:val="Bordered &amp; Lined - Accent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6" w:customStyle="1">
    <w:name w:val="Bordered &amp; Lined - Accent 1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7" w:customStyle="1">
    <w:name w:val="Bordered &amp; Lined - Accent 2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8" w:customStyle="1">
    <w:name w:val="Bordered &amp; Lined - Accent 3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9" w:customStyle="1">
    <w:name w:val="Bordered &amp; Lined - Accent 4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0" w:customStyle="1">
    <w:name w:val="Bordered &amp; Lined - Accent 5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1" w:customStyle="1">
    <w:name w:val="Bordered &amp; Lined - Accent 6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2" w:customStyle="1">
    <w:name w:val="Bordered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3" w:customStyle="1">
    <w:name w:val="Bordered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4" w:customStyle="1">
    <w:name w:val="Bordered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65" w:customStyle="1">
    <w:name w:val="Bordered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66" w:customStyle="1">
    <w:name w:val="Bordered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7" w:customStyle="1">
    <w:name w:val="Bordered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8" w:customStyle="1">
    <w:name w:val="Bordered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69">
    <w:name w:val="footnote text"/>
    <w:basedOn w:val="707"/>
    <w:link w:val="870"/>
    <w:uiPriority w:val="99"/>
    <w:semiHidden/>
    <w:unhideWhenUsed/>
    <w:pPr>
      <w:spacing w:after="40" w:line="240" w:lineRule="auto"/>
    </w:pPr>
    <w:rPr>
      <w:sz w:val="18"/>
    </w:rPr>
  </w:style>
  <w:style w:type="character" w:styleId="870" w:customStyle="1">
    <w:name w:val="Текст сноски Знак"/>
    <w:link w:val="869"/>
    <w:uiPriority w:val="99"/>
    <w:rPr>
      <w:sz w:val="18"/>
    </w:rPr>
  </w:style>
  <w:style w:type="character" w:styleId="871">
    <w:name w:val="footnote reference"/>
    <w:basedOn w:val="717"/>
    <w:uiPriority w:val="99"/>
    <w:unhideWhenUsed/>
    <w:rPr>
      <w:vertAlign w:val="superscript"/>
    </w:rPr>
  </w:style>
  <w:style w:type="paragraph" w:styleId="872">
    <w:name w:val="endnote text"/>
    <w:basedOn w:val="707"/>
    <w:link w:val="873"/>
    <w:uiPriority w:val="99"/>
    <w:semiHidden/>
    <w:unhideWhenUsed/>
    <w:pPr>
      <w:spacing w:after="0" w:line="240" w:lineRule="auto"/>
    </w:pPr>
    <w:rPr>
      <w:sz w:val="20"/>
    </w:rPr>
  </w:style>
  <w:style w:type="character" w:styleId="873" w:customStyle="1">
    <w:name w:val="Текст концевой сноски Знак"/>
    <w:link w:val="872"/>
    <w:uiPriority w:val="99"/>
    <w:rPr>
      <w:sz w:val="20"/>
    </w:rPr>
  </w:style>
  <w:style w:type="character" w:styleId="874">
    <w:name w:val="endnote reference"/>
    <w:basedOn w:val="717"/>
    <w:uiPriority w:val="99"/>
    <w:semiHidden/>
    <w:unhideWhenUsed/>
    <w:rPr>
      <w:vertAlign w:val="superscript"/>
    </w:rPr>
  </w:style>
  <w:style w:type="paragraph" w:styleId="875">
    <w:name w:val="toc 1"/>
    <w:basedOn w:val="707"/>
    <w:next w:val="707"/>
    <w:uiPriority w:val="39"/>
    <w:unhideWhenUsed/>
    <w:pPr>
      <w:spacing w:after="57"/>
    </w:pPr>
  </w:style>
  <w:style w:type="paragraph" w:styleId="876">
    <w:name w:val="toc 2"/>
    <w:basedOn w:val="707"/>
    <w:next w:val="707"/>
    <w:uiPriority w:val="39"/>
    <w:unhideWhenUsed/>
    <w:pPr>
      <w:ind w:left="283"/>
      <w:spacing w:after="57"/>
    </w:pPr>
  </w:style>
  <w:style w:type="paragraph" w:styleId="877">
    <w:name w:val="toc 3"/>
    <w:basedOn w:val="707"/>
    <w:next w:val="707"/>
    <w:uiPriority w:val="39"/>
    <w:unhideWhenUsed/>
    <w:pPr>
      <w:ind w:left="567"/>
      <w:spacing w:after="57"/>
    </w:pPr>
  </w:style>
  <w:style w:type="paragraph" w:styleId="878">
    <w:name w:val="toc 4"/>
    <w:basedOn w:val="707"/>
    <w:next w:val="707"/>
    <w:uiPriority w:val="39"/>
    <w:unhideWhenUsed/>
    <w:pPr>
      <w:ind w:left="850"/>
      <w:spacing w:after="57"/>
    </w:pPr>
  </w:style>
  <w:style w:type="paragraph" w:styleId="879">
    <w:name w:val="toc 5"/>
    <w:basedOn w:val="707"/>
    <w:next w:val="707"/>
    <w:uiPriority w:val="39"/>
    <w:unhideWhenUsed/>
    <w:pPr>
      <w:ind w:left="1134"/>
      <w:spacing w:after="57"/>
    </w:pPr>
  </w:style>
  <w:style w:type="paragraph" w:styleId="880">
    <w:name w:val="toc 6"/>
    <w:basedOn w:val="707"/>
    <w:next w:val="707"/>
    <w:uiPriority w:val="39"/>
    <w:unhideWhenUsed/>
    <w:pPr>
      <w:ind w:left="1417"/>
      <w:spacing w:after="57"/>
    </w:pPr>
  </w:style>
  <w:style w:type="paragraph" w:styleId="881">
    <w:name w:val="toc 7"/>
    <w:basedOn w:val="707"/>
    <w:next w:val="707"/>
    <w:uiPriority w:val="39"/>
    <w:unhideWhenUsed/>
    <w:pPr>
      <w:ind w:left="1701"/>
      <w:spacing w:after="57"/>
    </w:pPr>
  </w:style>
  <w:style w:type="paragraph" w:styleId="882">
    <w:name w:val="toc 8"/>
    <w:basedOn w:val="707"/>
    <w:next w:val="707"/>
    <w:uiPriority w:val="39"/>
    <w:unhideWhenUsed/>
    <w:pPr>
      <w:ind w:left="1984"/>
      <w:spacing w:after="57"/>
    </w:pPr>
  </w:style>
  <w:style w:type="paragraph" w:styleId="883">
    <w:name w:val="toc 9"/>
    <w:basedOn w:val="707"/>
    <w:next w:val="707"/>
    <w:uiPriority w:val="39"/>
    <w:unhideWhenUsed/>
    <w:pPr>
      <w:ind w:left="2268"/>
      <w:spacing w:after="57"/>
    </w:pPr>
  </w:style>
  <w:style w:type="paragraph" w:styleId="884">
    <w:name w:val="TOC Heading"/>
    <w:uiPriority w:val="39"/>
    <w:unhideWhenUsed/>
  </w:style>
  <w:style w:type="paragraph" w:styleId="885">
    <w:name w:val="table of figures"/>
    <w:basedOn w:val="707"/>
    <w:next w:val="707"/>
    <w:uiPriority w:val="99"/>
    <w:unhideWhenUsed/>
    <w:pPr>
      <w:spacing w:after="0"/>
    </w:pPr>
  </w:style>
  <w:style w:type="paragraph" w:styleId="886">
    <w:name w:val="List Paragraph"/>
    <w:basedOn w:val="707"/>
    <w:uiPriority w:val="34"/>
    <w:qFormat/>
    <w:pPr>
      <w:contextualSpacing/>
      <w:ind w:left="720"/>
    </w:pPr>
  </w:style>
  <w:style w:type="character" w:styleId="887">
    <w:name w:val="Hyperlink"/>
    <w:basedOn w:val="717"/>
    <w:uiPriority w:val="99"/>
    <w:unhideWhenUsed/>
    <w:rPr>
      <w:rFonts w:hint="default" w:ascii="Geometria Medium" w:hAnsi="Geometria Medium"/>
      <w:strike w:val="0"/>
      <w:color w:val="0478cf"/>
      <w:u w:val="none"/>
      <w:shd w:val="clear" w:color="auto" w:fill="auto"/>
    </w:rPr>
  </w:style>
  <w:style w:type="table" w:styleId="888">
    <w:name w:val="Table Grid"/>
    <w:basedOn w:val="71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9" w:customStyle="1">
    <w:name w:val="ГПО35"/>
    <w:pPr>
      <w:ind w:left="786" w:hanging="360"/>
      <w:spacing w:after="48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90">
    <w:name w:val="Balloon Text"/>
    <w:basedOn w:val="707"/>
    <w:link w:val="891"/>
    <w:uiPriority w:val="99"/>
    <w:semiHidden/>
    <w:unhideWhenUsed/>
    <w:pPr>
      <w:spacing w:after="0" w:line="240" w:lineRule="auto"/>
    </w:pPr>
    <w:rPr>
      <w:rFonts w:ascii="Arial" w:hAnsi="Arial" w:cs="Arial"/>
      <w:sz w:val="18"/>
      <w:szCs w:val="18"/>
    </w:rPr>
  </w:style>
  <w:style w:type="character" w:styleId="891" w:customStyle="1">
    <w:name w:val="Текст выноски Знак"/>
    <w:basedOn w:val="717"/>
    <w:link w:val="890"/>
    <w:uiPriority w:val="99"/>
    <w:semiHidden/>
    <w:rPr>
      <w:rFonts w:ascii="Arial" w:hAnsi="Arial" w:cs="Arial"/>
      <w:sz w:val="18"/>
      <w:szCs w:val="18"/>
    </w:rPr>
  </w:style>
  <w:style w:type="table" w:styleId="892" w:customStyle="1">
    <w:name w:val="Сетка таблицы1"/>
    <w:basedOn w:val="718"/>
    <w:next w:val="88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3" w:customStyle="1">
    <w:name w:val="Абзац списка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ED731-3FD0-4B58-8140-453E63492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Юга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Вовк Алексей Юрьевич</dc:creator>
  <cp:revision>91</cp:revision>
  <dcterms:created xsi:type="dcterms:W3CDTF">2021-03-25T10:18:00Z</dcterms:created>
  <dcterms:modified xsi:type="dcterms:W3CDTF">2025-03-27T07:53:40Z</dcterms:modified>
</cp:coreProperties>
</file>